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45" w:type="dxa"/>
        <w:tblCellMar>
          <w:top w:w="29" w:type="dxa"/>
          <w:left w:w="115" w:type="dxa"/>
          <w:bottom w:w="29" w:type="dxa"/>
          <w:right w:w="115" w:type="dxa"/>
        </w:tblCellMar>
        <w:tblLook w:val="04A0" w:firstRow="1" w:lastRow="0" w:firstColumn="1" w:lastColumn="0" w:noHBand="0" w:noVBand="1"/>
      </w:tblPr>
      <w:tblGrid>
        <w:gridCol w:w="5215"/>
        <w:gridCol w:w="4230"/>
      </w:tblGrid>
      <w:tr w:rsidR="008A3D5A" w:rsidRPr="00371AF9" w14:paraId="26239561" w14:textId="77777777" w:rsidTr="00D90075">
        <w:trPr>
          <w:cantSplit/>
          <w:trHeight w:val="510"/>
          <w:tblHeader/>
        </w:trPr>
        <w:tc>
          <w:tcPr>
            <w:tcW w:w="5215" w:type="dxa"/>
            <w:shd w:val="clear" w:color="auto" w:fill="C6D9F1" w:themeFill="text2" w:themeFillTint="33"/>
            <w:vAlign w:val="center"/>
          </w:tcPr>
          <w:p w14:paraId="59945D21" w14:textId="0731AC1A" w:rsidR="008A3D5A" w:rsidRPr="00371AF9" w:rsidRDefault="008A3D5A" w:rsidP="00306FB1">
            <w:pPr>
              <w:jc w:val="center"/>
              <w:rPr>
                <w:b/>
              </w:rPr>
            </w:pPr>
            <w:r w:rsidRPr="00371AF9">
              <w:rPr>
                <w:b/>
              </w:rPr>
              <w:t>Business Term</w:t>
            </w:r>
          </w:p>
        </w:tc>
        <w:tc>
          <w:tcPr>
            <w:tcW w:w="4230" w:type="dxa"/>
            <w:shd w:val="clear" w:color="auto" w:fill="C6D9F1" w:themeFill="text2" w:themeFillTint="33"/>
            <w:vAlign w:val="center"/>
          </w:tcPr>
          <w:p w14:paraId="4F08F81F" w14:textId="6E4028A7" w:rsidR="008A3D5A" w:rsidRPr="00371AF9" w:rsidRDefault="003B1DAF" w:rsidP="000618FF">
            <w:pPr>
              <w:jc w:val="center"/>
              <w:rPr>
                <w:b/>
              </w:rPr>
            </w:pPr>
            <w:r>
              <w:rPr>
                <w:b/>
              </w:rPr>
              <w:t xml:space="preserve">Developer </w:t>
            </w:r>
            <w:r w:rsidR="008A3D5A" w:rsidRPr="00371AF9">
              <w:rPr>
                <w:b/>
              </w:rPr>
              <w:t>Proposed</w:t>
            </w:r>
          </w:p>
        </w:tc>
      </w:tr>
      <w:tr w:rsidR="00761131" w:rsidRPr="00371AF9" w14:paraId="6139E1B0" w14:textId="77777777" w:rsidTr="00D90075">
        <w:trPr>
          <w:cantSplit/>
          <w:trHeight w:val="384"/>
        </w:trPr>
        <w:tc>
          <w:tcPr>
            <w:tcW w:w="9445" w:type="dxa"/>
            <w:gridSpan w:val="2"/>
            <w:shd w:val="clear" w:color="auto" w:fill="D9D9D9" w:themeFill="background1" w:themeFillShade="D9"/>
          </w:tcPr>
          <w:p w14:paraId="279A3040" w14:textId="7FBBD83C" w:rsidR="00761131" w:rsidRPr="00371AF9" w:rsidRDefault="00761131" w:rsidP="00761131">
            <w:pPr>
              <w:pStyle w:val="Heading2"/>
              <w:outlineLvl w:val="1"/>
            </w:pPr>
            <w:r w:rsidRPr="00371AF9">
              <w:t xml:space="preserve">Role of </w:t>
            </w:r>
            <w:r w:rsidR="00C75788">
              <w:t>TMHA</w:t>
            </w:r>
          </w:p>
        </w:tc>
      </w:tr>
      <w:tr w:rsidR="008A3D5A" w:rsidRPr="00371AF9" w14:paraId="3645CA25" w14:textId="77777777" w:rsidTr="0056325D">
        <w:trPr>
          <w:cantSplit/>
          <w:trHeight w:val="4092"/>
        </w:trPr>
        <w:tc>
          <w:tcPr>
            <w:tcW w:w="5215" w:type="dxa"/>
          </w:tcPr>
          <w:p w14:paraId="52B25FEC" w14:textId="77777777" w:rsidR="00702DED" w:rsidRDefault="00702DED" w:rsidP="00C05FEB">
            <w:pPr>
              <w:rPr>
                <w:rFonts w:ascii="Calibri" w:eastAsia="Calibri" w:hAnsi="Calibri" w:cs="Times New Roman"/>
              </w:rPr>
            </w:pPr>
          </w:p>
          <w:p w14:paraId="5BFAF09F" w14:textId="77777777" w:rsidR="00246AA9" w:rsidRDefault="008A3D5A" w:rsidP="00C05FEB">
            <w:pPr>
              <w:rPr>
                <w:rFonts w:ascii="Calibri" w:eastAsia="Calibri" w:hAnsi="Calibri" w:cs="Times New Roman"/>
              </w:rPr>
            </w:pPr>
            <w:r w:rsidRPr="00371AF9">
              <w:rPr>
                <w:rFonts w:ascii="Calibri" w:eastAsia="Calibri" w:hAnsi="Calibri" w:cs="Times New Roman"/>
              </w:rPr>
              <w:t xml:space="preserve">In consideration of contribution of resources including funding, land, and staff effort, </w:t>
            </w:r>
            <w:r w:rsidR="00C75788">
              <w:rPr>
                <w:rFonts w:ascii="Calibri" w:eastAsia="Calibri" w:hAnsi="Calibri" w:cs="Times New Roman"/>
              </w:rPr>
              <w:t>TMHA</w:t>
            </w:r>
            <w:r w:rsidRPr="00371AF9">
              <w:rPr>
                <w:rFonts w:ascii="Calibri" w:eastAsia="Calibri" w:hAnsi="Calibri" w:cs="Times New Roman"/>
              </w:rPr>
              <w:t xml:space="preserve"> anticipates a return on its investment. The form of this return can include a share of developer fees and cash flow, rent on the land that is ground leased, or by other mechanisms proposed by the Developer and acceptable to </w:t>
            </w:r>
            <w:r w:rsidR="00C75788">
              <w:rPr>
                <w:rFonts w:ascii="Calibri" w:eastAsia="Calibri" w:hAnsi="Calibri" w:cs="Times New Roman"/>
              </w:rPr>
              <w:t>TMHA</w:t>
            </w:r>
            <w:r w:rsidRPr="00371AF9">
              <w:rPr>
                <w:rFonts w:ascii="Calibri" w:eastAsia="Calibri" w:hAnsi="Calibri" w:cs="Times New Roman"/>
              </w:rPr>
              <w:t xml:space="preserve">. </w:t>
            </w:r>
          </w:p>
          <w:p w14:paraId="74FC275F" w14:textId="77777777" w:rsidR="00246AA9" w:rsidRDefault="00246AA9" w:rsidP="00C05FEB">
            <w:pPr>
              <w:rPr>
                <w:rFonts w:ascii="Calibri" w:eastAsia="Calibri" w:hAnsi="Calibri" w:cs="Times New Roman"/>
              </w:rPr>
            </w:pPr>
          </w:p>
          <w:p w14:paraId="28801AAC" w14:textId="5FBE272B" w:rsidR="008A3D5A" w:rsidRPr="0056325D" w:rsidRDefault="008A3D5A" w:rsidP="00C05FEB">
            <w:pPr>
              <w:rPr>
                <w:rFonts w:ascii="Calibri" w:eastAsia="Calibri" w:hAnsi="Calibri" w:cs="Times New Roman"/>
                <w:b/>
              </w:rPr>
            </w:pPr>
            <w:r w:rsidRPr="00730AD7">
              <w:rPr>
                <w:rFonts w:ascii="Calibri" w:eastAsia="Calibri" w:hAnsi="Calibri" w:cs="Times New Roman"/>
                <w:b/>
              </w:rPr>
              <w:t xml:space="preserve">The Developer should propose a specific role for </w:t>
            </w:r>
            <w:r w:rsidR="00C75788">
              <w:rPr>
                <w:rFonts w:ascii="Calibri" w:eastAsia="Calibri" w:hAnsi="Calibri" w:cs="Times New Roman"/>
                <w:b/>
              </w:rPr>
              <w:t>TMHA</w:t>
            </w:r>
            <w:r w:rsidRPr="00730AD7">
              <w:rPr>
                <w:rFonts w:ascii="Calibri" w:eastAsia="Calibri" w:hAnsi="Calibri" w:cs="Times New Roman"/>
                <w:b/>
              </w:rPr>
              <w:t xml:space="preserve"> in the ownership structures (for both the residential and non-residential components), as appropriate</w:t>
            </w:r>
            <w:r w:rsidR="0024333E">
              <w:rPr>
                <w:rFonts w:ascii="Calibri" w:eastAsia="Calibri" w:hAnsi="Calibri" w:cs="Times New Roman"/>
                <w:b/>
              </w:rPr>
              <w:t>, as well as a proposed schedule of return</w:t>
            </w:r>
            <w:r w:rsidRPr="00730AD7">
              <w:rPr>
                <w:rFonts w:ascii="Calibri" w:eastAsia="Calibri" w:hAnsi="Calibri" w:cs="Times New Roman"/>
                <w:b/>
              </w:rPr>
              <w:t>.</w:t>
            </w:r>
          </w:p>
        </w:tc>
        <w:tc>
          <w:tcPr>
            <w:tcW w:w="4230" w:type="dxa"/>
          </w:tcPr>
          <w:p w14:paraId="432324C1" w14:textId="77777777" w:rsidR="008A3D5A" w:rsidRPr="00371AF9" w:rsidRDefault="008A3D5A" w:rsidP="008A3D5A"/>
        </w:tc>
      </w:tr>
      <w:tr w:rsidR="00730AD7" w:rsidRPr="00371AF9" w14:paraId="4D723F17" w14:textId="77777777" w:rsidTr="00D90075">
        <w:trPr>
          <w:cantSplit/>
        </w:trPr>
        <w:tc>
          <w:tcPr>
            <w:tcW w:w="9445" w:type="dxa"/>
            <w:gridSpan w:val="2"/>
            <w:shd w:val="clear" w:color="auto" w:fill="D9D9D9" w:themeFill="background1" w:themeFillShade="D9"/>
          </w:tcPr>
          <w:p w14:paraId="009ACB34" w14:textId="000A4268" w:rsidR="00730AD7" w:rsidRPr="00730AD7" w:rsidRDefault="00730AD7" w:rsidP="00730AD7">
            <w:pPr>
              <w:pStyle w:val="Heading2"/>
              <w:outlineLvl w:val="1"/>
              <w:rPr>
                <w:rFonts w:ascii="Calibri" w:eastAsia="Calibri" w:hAnsi="Calibri" w:cs="Times New Roman"/>
              </w:rPr>
            </w:pPr>
            <w:r w:rsidRPr="00730AD7">
              <w:rPr>
                <w:rFonts w:ascii="Calibri" w:eastAsia="Calibri" w:hAnsi="Calibri" w:cs="Times New Roman"/>
              </w:rPr>
              <w:t>Capacity Building</w:t>
            </w:r>
          </w:p>
        </w:tc>
      </w:tr>
      <w:tr w:rsidR="002C0BFB" w:rsidRPr="00371AF9" w14:paraId="614CFC94" w14:textId="77777777" w:rsidTr="0056325D">
        <w:trPr>
          <w:cantSplit/>
          <w:trHeight w:val="6459"/>
        </w:trPr>
        <w:tc>
          <w:tcPr>
            <w:tcW w:w="5215" w:type="dxa"/>
          </w:tcPr>
          <w:p w14:paraId="07A64FEB" w14:textId="77777777" w:rsidR="00702DED" w:rsidRDefault="00702DED" w:rsidP="00C05FEB">
            <w:pPr>
              <w:rPr>
                <w:rFonts w:ascii="Calibri" w:eastAsia="Calibri" w:hAnsi="Calibri" w:cs="Times New Roman"/>
              </w:rPr>
            </w:pPr>
          </w:p>
          <w:p w14:paraId="3B1E7687" w14:textId="77777777" w:rsidR="00D90075" w:rsidRDefault="00246AA9" w:rsidP="00C05FEB">
            <w:pPr>
              <w:rPr>
                <w:rFonts w:ascii="Calibri" w:eastAsia="Calibri" w:hAnsi="Calibri" w:cs="Times New Roman"/>
              </w:rPr>
            </w:pPr>
            <w:r w:rsidRPr="00246AA9">
              <w:rPr>
                <w:rFonts w:ascii="Calibri" w:eastAsia="Calibri" w:hAnsi="Calibri" w:cs="Times New Roman"/>
                <w:b/>
                <w:bCs/>
              </w:rPr>
              <w:t>The</w:t>
            </w:r>
            <w:r w:rsidR="00DC221E" w:rsidRPr="00246AA9">
              <w:rPr>
                <w:rFonts w:ascii="Calibri" w:eastAsia="Calibri" w:hAnsi="Calibri" w:cs="Times New Roman"/>
                <w:b/>
                <w:bCs/>
              </w:rPr>
              <w:t xml:space="preserve"> Developer must provide a description regarding how </w:t>
            </w:r>
            <w:r w:rsidR="00C75788" w:rsidRPr="00246AA9">
              <w:rPr>
                <w:rFonts w:ascii="Calibri" w:eastAsia="Calibri" w:hAnsi="Calibri" w:cs="Times New Roman"/>
                <w:b/>
                <w:bCs/>
              </w:rPr>
              <w:t>TMHA</w:t>
            </w:r>
            <w:r w:rsidR="00DC221E" w:rsidRPr="00246AA9">
              <w:rPr>
                <w:rFonts w:ascii="Calibri" w:eastAsia="Calibri" w:hAnsi="Calibri" w:cs="Times New Roman"/>
                <w:b/>
                <w:bCs/>
              </w:rPr>
              <w:t xml:space="preserve"> and/or its staff can participate in and/or develop experience managing mixed-income communities over time.</w:t>
            </w:r>
            <w:r w:rsidR="00DC221E" w:rsidRPr="00371AF9">
              <w:rPr>
                <w:rFonts w:ascii="Calibri" w:eastAsia="Calibri" w:hAnsi="Calibri" w:cs="Times New Roman"/>
              </w:rPr>
              <w:t xml:space="preserve"> </w:t>
            </w:r>
          </w:p>
          <w:p w14:paraId="4D87A410" w14:textId="77777777" w:rsidR="00D90075" w:rsidRDefault="00D90075" w:rsidP="00C05FEB">
            <w:pPr>
              <w:rPr>
                <w:rFonts w:ascii="Calibri" w:eastAsia="Calibri" w:hAnsi="Calibri" w:cs="Times New Roman"/>
              </w:rPr>
            </w:pPr>
          </w:p>
          <w:p w14:paraId="18FD0904" w14:textId="6FDB155E" w:rsidR="0056325D" w:rsidRDefault="00DC221E" w:rsidP="00C05FEB">
            <w:pPr>
              <w:rPr>
                <w:rFonts w:ascii="Calibri" w:eastAsia="Calibri" w:hAnsi="Calibri" w:cs="Times New Roman"/>
              </w:rPr>
            </w:pPr>
            <w:r w:rsidRPr="00371AF9">
              <w:rPr>
                <w:rFonts w:ascii="Calibri" w:eastAsia="Calibri" w:hAnsi="Calibri" w:cs="Times New Roman"/>
              </w:rPr>
              <w:t xml:space="preserve">The role should </w:t>
            </w:r>
            <w:r w:rsidR="00B35E82">
              <w:rPr>
                <w:rFonts w:ascii="Calibri" w:eastAsia="Calibri" w:hAnsi="Calibri" w:cs="Times New Roman"/>
              </w:rPr>
              <w:t>include assisting</w:t>
            </w:r>
            <w:r w:rsidRPr="00371AF9">
              <w:rPr>
                <w:rFonts w:ascii="Calibri" w:eastAsia="Calibri" w:hAnsi="Calibri" w:cs="Times New Roman"/>
              </w:rPr>
              <w:t xml:space="preserve"> </w:t>
            </w:r>
            <w:r w:rsidR="00C75788">
              <w:rPr>
                <w:rFonts w:ascii="Calibri" w:eastAsia="Calibri" w:hAnsi="Calibri" w:cs="Times New Roman"/>
              </w:rPr>
              <w:t>TMHA</w:t>
            </w:r>
            <w:r w:rsidRPr="00371AF9">
              <w:rPr>
                <w:rFonts w:ascii="Calibri" w:eastAsia="Calibri" w:hAnsi="Calibri" w:cs="Times New Roman"/>
              </w:rPr>
              <w:t xml:space="preserve"> in developing experience necessary to </w:t>
            </w:r>
            <w:r w:rsidR="00B35E82">
              <w:rPr>
                <w:rFonts w:ascii="Calibri" w:eastAsia="Calibri" w:hAnsi="Calibri" w:cs="Times New Roman"/>
              </w:rPr>
              <w:t>manage</w:t>
            </w:r>
            <w:r w:rsidRPr="00371AF9">
              <w:rPr>
                <w:rFonts w:ascii="Calibri" w:eastAsia="Calibri" w:hAnsi="Calibri" w:cs="Times New Roman"/>
              </w:rPr>
              <w:t xml:space="preserve"> mixed finance and tax credit developments</w:t>
            </w:r>
            <w:r w:rsidR="00B35E82">
              <w:rPr>
                <w:rFonts w:ascii="Calibri" w:eastAsia="Calibri" w:hAnsi="Calibri" w:cs="Times New Roman"/>
              </w:rPr>
              <w:t xml:space="preserve">. TMHA’s intent is that a TMHA affiliated LLC participates as a general partner and that TMHA and the Developer </w:t>
            </w:r>
            <w:r w:rsidR="0056325D">
              <w:rPr>
                <w:rFonts w:ascii="Calibri" w:eastAsia="Calibri" w:hAnsi="Calibri" w:cs="Times New Roman"/>
              </w:rPr>
              <w:t xml:space="preserve">execute a </w:t>
            </w:r>
            <w:r w:rsidR="00B35E82" w:rsidRPr="00B35E82">
              <w:rPr>
                <w:rFonts w:ascii="Calibri" w:eastAsia="Calibri" w:hAnsi="Calibri" w:cs="Times New Roman"/>
              </w:rPr>
              <w:t xml:space="preserve">co-management arrangement between </w:t>
            </w:r>
            <w:r w:rsidR="0056325D">
              <w:rPr>
                <w:rFonts w:ascii="Calibri" w:eastAsia="Calibri" w:hAnsi="Calibri" w:cs="Times New Roman"/>
              </w:rPr>
              <w:t>TMHA</w:t>
            </w:r>
            <w:r w:rsidR="00B35E82" w:rsidRPr="00B35E82">
              <w:rPr>
                <w:rFonts w:ascii="Calibri" w:eastAsia="Calibri" w:hAnsi="Calibri" w:cs="Times New Roman"/>
              </w:rPr>
              <w:t xml:space="preserve"> (or an affiliate) and </w:t>
            </w:r>
            <w:r w:rsidR="0056325D">
              <w:rPr>
                <w:rFonts w:ascii="Calibri" w:eastAsia="Calibri" w:hAnsi="Calibri" w:cs="Times New Roman"/>
              </w:rPr>
              <w:t>the developer</w:t>
            </w:r>
            <w:r w:rsidR="00B35E82" w:rsidRPr="00B35E82">
              <w:rPr>
                <w:rFonts w:ascii="Calibri" w:eastAsia="Calibri" w:hAnsi="Calibri" w:cs="Times New Roman"/>
              </w:rPr>
              <w:t xml:space="preserve"> </w:t>
            </w:r>
            <w:r w:rsidR="0056325D">
              <w:rPr>
                <w:rFonts w:ascii="Calibri" w:eastAsia="Calibri" w:hAnsi="Calibri" w:cs="Times New Roman"/>
              </w:rPr>
              <w:t xml:space="preserve">to </w:t>
            </w:r>
            <w:r w:rsidR="00B35E82">
              <w:rPr>
                <w:rFonts w:ascii="Calibri" w:eastAsia="Calibri" w:hAnsi="Calibri" w:cs="Times New Roman"/>
              </w:rPr>
              <w:t xml:space="preserve">fulfill the role of property management agent. The Developer </w:t>
            </w:r>
            <w:r w:rsidR="00B35E82" w:rsidRPr="00B35E82">
              <w:rPr>
                <w:rFonts w:ascii="Calibri" w:eastAsia="Calibri" w:hAnsi="Calibri" w:cs="Times New Roman"/>
              </w:rPr>
              <w:t>shall mentor and provide training</w:t>
            </w:r>
            <w:r w:rsidR="00B35E82">
              <w:rPr>
                <w:rFonts w:ascii="Calibri" w:eastAsia="Calibri" w:hAnsi="Calibri" w:cs="Times New Roman"/>
              </w:rPr>
              <w:t xml:space="preserve"> to</w:t>
            </w:r>
            <w:r w:rsidR="00B35E82" w:rsidRPr="00B35E82">
              <w:rPr>
                <w:rFonts w:ascii="Calibri" w:eastAsia="Calibri" w:hAnsi="Calibri" w:cs="Times New Roman"/>
              </w:rPr>
              <w:t xml:space="preserve"> </w:t>
            </w:r>
            <w:r w:rsidR="00B35E82">
              <w:rPr>
                <w:rFonts w:ascii="Calibri" w:eastAsia="Calibri" w:hAnsi="Calibri" w:cs="Times New Roman"/>
              </w:rPr>
              <w:t>TMHA</w:t>
            </w:r>
            <w:r w:rsidR="00B35E82" w:rsidRPr="00B35E82">
              <w:rPr>
                <w:rFonts w:ascii="Calibri" w:eastAsia="Calibri" w:hAnsi="Calibri" w:cs="Times New Roman"/>
              </w:rPr>
              <w:t xml:space="preserve"> regarding management, tax credit and regulatory compliance, including </w:t>
            </w:r>
            <w:r w:rsidR="00B35E82">
              <w:rPr>
                <w:rFonts w:ascii="Calibri" w:eastAsia="Calibri" w:hAnsi="Calibri" w:cs="Times New Roman"/>
              </w:rPr>
              <w:t>all applicable requirements</w:t>
            </w:r>
            <w:r w:rsidR="0056325D">
              <w:t xml:space="preserve"> </w:t>
            </w:r>
            <w:r w:rsidR="0056325D" w:rsidRPr="0056325D">
              <w:rPr>
                <w:rFonts w:ascii="Calibri" w:eastAsia="Calibri" w:hAnsi="Calibri" w:cs="Times New Roman"/>
              </w:rPr>
              <w:t>and otherwise provide reasonable guidance during initial conversion and monitor compliance throughout the 15-year compliance period.</w:t>
            </w:r>
          </w:p>
          <w:p w14:paraId="0078D4F2" w14:textId="77777777" w:rsidR="0056325D" w:rsidRDefault="0056325D" w:rsidP="00C05FEB">
            <w:pPr>
              <w:rPr>
                <w:rFonts w:ascii="Calibri" w:eastAsia="Calibri" w:hAnsi="Calibri" w:cs="Times New Roman"/>
              </w:rPr>
            </w:pPr>
          </w:p>
          <w:p w14:paraId="5390CA51" w14:textId="5D18D45F" w:rsidR="00DC221E" w:rsidRPr="00371AF9" w:rsidRDefault="00C75788" w:rsidP="0056325D">
            <w:pPr>
              <w:rPr>
                <w:rFonts w:ascii="Calibri" w:eastAsia="Calibri" w:hAnsi="Calibri" w:cs="Times New Roman"/>
              </w:rPr>
            </w:pPr>
            <w:r>
              <w:rPr>
                <w:rFonts w:ascii="Calibri" w:eastAsia="Calibri" w:hAnsi="Calibri" w:cs="Times New Roman"/>
              </w:rPr>
              <w:t>TMHA</w:t>
            </w:r>
            <w:r w:rsidR="00DC221E" w:rsidRPr="00371AF9">
              <w:rPr>
                <w:rFonts w:ascii="Calibri" w:eastAsia="Calibri" w:hAnsi="Calibri" w:cs="Times New Roman"/>
              </w:rPr>
              <w:t xml:space="preserve"> understands that any role it plays in development and/or property management is subject to the approval of equity investors and lenders.</w:t>
            </w:r>
          </w:p>
        </w:tc>
        <w:tc>
          <w:tcPr>
            <w:tcW w:w="4230" w:type="dxa"/>
          </w:tcPr>
          <w:p w14:paraId="74AE645B" w14:textId="42CFB328" w:rsidR="002C0BFB" w:rsidRPr="00371AF9" w:rsidRDefault="002C0BFB" w:rsidP="008A3D5A"/>
        </w:tc>
      </w:tr>
      <w:tr w:rsidR="005B64AE" w:rsidRPr="00371AF9" w14:paraId="22B2F5FA" w14:textId="77777777" w:rsidTr="00D90075">
        <w:trPr>
          <w:cantSplit/>
        </w:trPr>
        <w:tc>
          <w:tcPr>
            <w:tcW w:w="9445" w:type="dxa"/>
            <w:gridSpan w:val="2"/>
            <w:shd w:val="clear" w:color="auto" w:fill="D9D9D9" w:themeFill="background1" w:themeFillShade="D9"/>
          </w:tcPr>
          <w:p w14:paraId="43CCCBCB" w14:textId="1944AFAF" w:rsidR="005B64AE" w:rsidRPr="00F27ECB" w:rsidRDefault="005B64AE" w:rsidP="00F27ECB">
            <w:pPr>
              <w:pStyle w:val="Heading2"/>
              <w:outlineLvl w:val="1"/>
              <w:rPr>
                <w:rFonts w:ascii="Calibri" w:eastAsia="Calibri" w:hAnsi="Calibri" w:cs="Times New Roman"/>
              </w:rPr>
            </w:pPr>
            <w:r w:rsidRPr="00F27ECB">
              <w:rPr>
                <w:rFonts w:ascii="Calibri" w:eastAsia="Calibri" w:hAnsi="Calibri" w:cs="Times New Roman"/>
              </w:rPr>
              <w:lastRenderedPageBreak/>
              <w:t>Fees and Cost Limitations</w:t>
            </w:r>
          </w:p>
        </w:tc>
      </w:tr>
      <w:tr w:rsidR="00877273" w:rsidRPr="00371AF9" w14:paraId="61EFA250" w14:textId="77777777" w:rsidTr="00D90075">
        <w:trPr>
          <w:cantSplit/>
        </w:trPr>
        <w:tc>
          <w:tcPr>
            <w:tcW w:w="9445" w:type="dxa"/>
            <w:gridSpan w:val="2"/>
          </w:tcPr>
          <w:p w14:paraId="790B7ACC" w14:textId="76C99AB1" w:rsidR="00877273" w:rsidRPr="00371AF9" w:rsidRDefault="00877273" w:rsidP="00877273">
            <w:pPr>
              <w:rPr>
                <w:rFonts w:ascii="Calibri" w:eastAsia="Calibri" w:hAnsi="Calibri" w:cs="Times New Roman"/>
              </w:rPr>
            </w:pPr>
          </w:p>
          <w:p w14:paraId="57673E17" w14:textId="77777777" w:rsidR="00877273" w:rsidRPr="00F27ECB" w:rsidRDefault="00877273" w:rsidP="00F27ECB">
            <w:pPr>
              <w:pStyle w:val="BodyText"/>
            </w:pPr>
            <w:r w:rsidRPr="00F27ECB">
              <w:t>The Developer must state its position and reasoning for each of the following development cost areas:</w:t>
            </w:r>
          </w:p>
          <w:p w14:paraId="730A01B0" w14:textId="2F4078CE" w:rsidR="00F27ECB" w:rsidRPr="00371AF9" w:rsidRDefault="00F27ECB" w:rsidP="008A3D5A"/>
        </w:tc>
      </w:tr>
      <w:tr w:rsidR="00877273" w:rsidRPr="00371AF9" w14:paraId="06493BB3" w14:textId="77777777" w:rsidTr="00184565">
        <w:trPr>
          <w:cantSplit/>
          <w:trHeight w:val="2544"/>
        </w:trPr>
        <w:tc>
          <w:tcPr>
            <w:tcW w:w="5215" w:type="dxa"/>
          </w:tcPr>
          <w:p w14:paraId="2373186F" w14:textId="77777777" w:rsidR="00702DED" w:rsidRDefault="00702DED" w:rsidP="00F27ECB">
            <w:pPr>
              <w:pStyle w:val="BodyText"/>
              <w:rPr>
                <w:rFonts w:asciiTheme="minorHAnsi" w:eastAsiaTheme="minorHAnsi" w:hAnsiTheme="minorHAnsi" w:cstheme="minorBidi"/>
              </w:rPr>
            </w:pPr>
          </w:p>
          <w:p w14:paraId="74A9CDBA" w14:textId="105180E8" w:rsidR="0056325D" w:rsidRDefault="0056325D" w:rsidP="00F27ECB">
            <w:pPr>
              <w:pStyle w:val="BodyText"/>
              <w:rPr>
                <w:rFonts w:asciiTheme="minorHAnsi" w:eastAsiaTheme="minorHAnsi" w:hAnsiTheme="minorHAnsi" w:cstheme="minorBidi"/>
              </w:rPr>
            </w:pPr>
            <w:r w:rsidRPr="0056325D">
              <w:rPr>
                <w:rFonts w:asciiTheme="minorHAnsi" w:eastAsiaTheme="minorHAnsi" w:hAnsiTheme="minorHAnsi" w:cstheme="minorBidi"/>
              </w:rPr>
              <w:t xml:space="preserve">Developer proposed development fee, stated as a percentage of total development costs as defined by </w:t>
            </w:r>
            <w:proofErr w:type="spellStart"/>
            <w:r w:rsidRPr="0056325D">
              <w:rPr>
                <w:rFonts w:asciiTheme="minorHAnsi" w:eastAsiaTheme="minorHAnsi" w:hAnsiTheme="minorHAnsi" w:cstheme="minorBidi"/>
              </w:rPr>
              <w:t>by</w:t>
            </w:r>
            <w:proofErr w:type="spellEnd"/>
            <w:r w:rsidRPr="0056325D">
              <w:rPr>
                <w:rFonts w:asciiTheme="minorHAnsi" w:eastAsiaTheme="minorHAnsi" w:hAnsiTheme="minorHAnsi" w:cstheme="minorBidi"/>
              </w:rPr>
              <w:t xml:space="preserve"> the State of New York and timing for payment of the development fee.</w:t>
            </w:r>
          </w:p>
          <w:p w14:paraId="0BAB830F" w14:textId="77777777" w:rsidR="0056325D" w:rsidRDefault="0056325D" w:rsidP="0056325D">
            <w:pPr>
              <w:pStyle w:val="BodyText"/>
              <w:rPr>
                <w:rFonts w:asciiTheme="minorHAnsi" w:eastAsiaTheme="minorHAnsi" w:hAnsiTheme="minorHAnsi" w:cstheme="minorBidi"/>
              </w:rPr>
            </w:pPr>
          </w:p>
          <w:p w14:paraId="4DCF8F9E" w14:textId="77777777" w:rsidR="0056325D" w:rsidRPr="00F27ECB" w:rsidRDefault="0056325D" w:rsidP="0056325D">
            <w:pPr>
              <w:pStyle w:val="BodyText"/>
              <w:rPr>
                <w:rFonts w:asciiTheme="minorHAnsi" w:eastAsiaTheme="minorHAnsi" w:hAnsiTheme="minorHAnsi" w:cstheme="minorBidi"/>
              </w:rPr>
            </w:pPr>
            <w:r w:rsidRPr="0056325D">
              <w:rPr>
                <w:rFonts w:asciiTheme="minorHAnsi" w:eastAsiaTheme="minorHAnsi" w:hAnsiTheme="minorHAnsi" w:cstheme="minorBidi"/>
              </w:rPr>
              <w:t>If developer fees are deferred, is the Developer willing to defer on the same basis as the developer fee split?</w:t>
            </w:r>
          </w:p>
          <w:p w14:paraId="0FB29153" w14:textId="0F3E1C5C" w:rsidR="00702DED" w:rsidRPr="00371AF9" w:rsidRDefault="00702DED" w:rsidP="00877273">
            <w:pPr>
              <w:rPr>
                <w:rFonts w:ascii="Calibri" w:eastAsia="Calibri" w:hAnsi="Calibri" w:cs="Times New Roman"/>
              </w:rPr>
            </w:pPr>
          </w:p>
        </w:tc>
        <w:tc>
          <w:tcPr>
            <w:tcW w:w="4230" w:type="dxa"/>
          </w:tcPr>
          <w:p w14:paraId="507DD460" w14:textId="77777777" w:rsidR="00877273" w:rsidRPr="00371AF9" w:rsidRDefault="00877273" w:rsidP="008A3D5A"/>
        </w:tc>
      </w:tr>
      <w:tr w:rsidR="002A0001" w:rsidRPr="00371AF9" w14:paraId="27093091" w14:textId="77777777" w:rsidTr="00184565">
        <w:trPr>
          <w:cantSplit/>
          <w:trHeight w:val="2814"/>
        </w:trPr>
        <w:tc>
          <w:tcPr>
            <w:tcW w:w="5215" w:type="dxa"/>
          </w:tcPr>
          <w:p w14:paraId="37AD2CFE" w14:textId="77777777" w:rsidR="00702DED" w:rsidRDefault="00702DED" w:rsidP="00FF0BD3">
            <w:pPr>
              <w:pStyle w:val="BodyText"/>
              <w:rPr>
                <w:rFonts w:asciiTheme="minorHAnsi" w:eastAsiaTheme="minorHAnsi" w:hAnsiTheme="minorHAnsi" w:cstheme="minorBidi"/>
              </w:rPr>
            </w:pPr>
          </w:p>
          <w:p w14:paraId="303D52D6" w14:textId="153B1C21" w:rsidR="002A0001" w:rsidRPr="00FF0BD3" w:rsidRDefault="0038166E" w:rsidP="00FF0BD3">
            <w:pPr>
              <w:pStyle w:val="BodyText"/>
              <w:rPr>
                <w:rFonts w:asciiTheme="minorHAnsi" w:eastAsiaTheme="minorHAnsi" w:hAnsiTheme="minorHAnsi" w:cstheme="minorBidi"/>
              </w:rPr>
            </w:pPr>
            <w:r w:rsidRPr="00FF0BD3">
              <w:rPr>
                <w:rFonts w:asciiTheme="minorHAnsi" w:eastAsiaTheme="minorHAnsi" w:hAnsiTheme="minorHAnsi" w:cstheme="minorBidi"/>
              </w:rPr>
              <w:t xml:space="preserve">Compensation and return on investment to be paid to </w:t>
            </w:r>
            <w:r w:rsidR="00C75788">
              <w:rPr>
                <w:rFonts w:asciiTheme="minorHAnsi" w:eastAsiaTheme="minorHAnsi" w:hAnsiTheme="minorHAnsi" w:cstheme="minorBidi"/>
              </w:rPr>
              <w:t>TMHA</w:t>
            </w:r>
            <w:r w:rsidRPr="00FF0BD3">
              <w:rPr>
                <w:rFonts w:asciiTheme="minorHAnsi" w:eastAsiaTheme="minorHAnsi" w:hAnsiTheme="minorHAnsi" w:cstheme="minorBidi"/>
              </w:rPr>
              <w:t xml:space="preserve">, </w:t>
            </w:r>
            <w:r w:rsidR="0056325D" w:rsidRPr="0056325D">
              <w:rPr>
                <w:rFonts w:asciiTheme="minorHAnsi" w:eastAsiaTheme="minorHAnsi" w:hAnsiTheme="minorHAnsi" w:cstheme="minorBidi"/>
              </w:rPr>
              <w:t>including but not l</w:t>
            </w:r>
            <w:r w:rsidR="0056325D">
              <w:rPr>
                <w:rFonts w:asciiTheme="minorHAnsi" w:eastAsiaTheme="minorHAnsi" w:hAnsiTheme="minorHAnsi" w:cstheme="minorBidi"/>
              </w:rPr>
              <w:t>i</w:t>
            </w:r>
            <w:r w:rsidR="0056325D" w:rsidRPr="0056325D">
              <w:rPr>
                <w:rFonts w:asciiTheme="minorHAnsi" w:eastAsiaTheme="minorHAnsi" w:hAnsiTheme="minorHAnsi" w:cstheme="minorBidi"/>
              </w:rPr>
              <w:t>mited to a share of development fees, ground lease payments, property management fees, incentive fees, ownership interest, property management and/ or training, interest earnings and repayments on loans, sustainable sources for PHA operations, right to acquire general partner interest, ground lease fee or land payment, and/or residual cash flow</w:t>
            </w:r>
            <w:r w:rsidRPr="00FF0BD3">
              <w:rPr>
                <w:rFonts w:asciiTheme="minorHAnsi" w:eastAsiaTheme="minorHAnsi" w:hAnsiTheme="minorHAnsi" w:cstheme="minorBidi"/>
              </w:rPr>
              <w:t>.</w:t>
            </w:r>
          </w:p>
          <w:p w14:paraId="6D38F54E" w14:textId="77777777" w:rsidR="00F27ECB" w:rsidRDefault="00F27ECB" w:rsidP="00877273">
            <w:pPr>
              <w:rPr>
                <w:rFonts w:ascii="Calibri" w:eastAsia="Calibri" w:hAnsi="Calibri" w:cs="Times New Roman"/>
              </w:rPr>
            </w:pPr>
          </w:p>
          <w:p w14:paraId="31FBE48C" w14:textId="77777777" w:rsidR="00702DED" w:rsidRDefault="00702DED" w:rsidP="00877273">
            <w:pPr>
              <w:rPr>
                <w:rFonts w:ascii="Calibri" w:eastAsia="Calibri" w:hAnsi="Calibri" w:cs="Times New Roman"/>
              </w:rPr>
            </w:pPr>
          </w:p>
          <w:p w14:paraId="70D155BD" w14:textId="3D27913F" w:rsidR="00702DED" w:rsidRPr="00371AF9" w:rsidRDefault="00702DED" w:rsidP="00877273">
            <w:pPr>
              <w:rPr>
                <w:rFonts w:ascii="Calibri" w:eastAsia="Calibri" w:hAnsi="Calibri" w:cs="Times New Roman"/>
              </w:rPr>
            </w:pPr>
          </w:p>
        </w:tc>
        <w:tc>
          <w:tcPr>
            <w:tcW w:w="4230" w:type="dxa"/>
          </w:tcPr>
          <w:p w14:paraId="29D3379C" w14:textId="77777777" w:rsidR="002A0001" w:rsidRPr="00371AF9" w:rsidRDefault="002A0001" w:rsidP="008A3D5A"/>
        </w:tc>
      </w:tr>
      <w:tr w:rsidR="0056325D" w:rsidRPr="00371AF9" w14:paraId="16B25338" w14:textId="77777777" w:rsidTr="0056325D">
        <w:trPr>
          <w:cantSplit/>
          <w:trHeight w:val="1950"/>
        </w:trPr>
        <w:tc>
          <w:tcPr>
            <w:tcW w:w="5215" w:type="dxa"/>
          </w:tcPr>
          <w:p w14:paraId="71292B1B" w14:textId="77777777" w:rsidR="0056325D" w:rsidRDefault="0056325D" w:rsidP="00FF0BD3">
            <w:pPr>
              <w:pStyle w:val="BodyText"/>
              <w:rPr>
                <w:rFonts w:asciiTheme="minorHAnsi" w:eastAsiaTheme="minorHAnsi" w:hAnsiTheme="minorHAnsi" w:cstheme="minorBidi"/>
              </w:rPr>
            </w:pPr>
          </w:p>
          <w:p w14:paraId="23BFBEF1" w14:textId="77777777" w:rsidR="0056325D" w:rsidRPr="0056325D" w:rsidRDefault="0056325D" w:rsidP="0056325D">
            <w:pPr>
              <w:pStyle w:val="BodyText"/>
              <w:rPr>
                <w:rFonts w:asciiTheme="minorHAnsi" w:eastAsiaTheme="minorHAnsi" w:hAnsiTheme="minorHAnsi" w:cstheme="minorBidi"/>
                <w:b w:val="0"/>
                <w:bCs/>
              </w:rPr>
            </w:pPr>
            <w:r w:rsidRPr="0056325D">
              <w:rPr>
                <w:rFonts w:asciiTheme="minorHAnsi" w:eastAsiaTheme="minorHAnsi" w:hAnsiTheme="minorHAnsi" w:cstheme="minorBidi"/>
                <w:b w:val="0"/>
                <w:bCs/>
              </w:rPr>
              <w:t>The Developer must be able to fund ALL pre-development activities.</w:t>
            </w:r>
          </w:p>
          <w:p w14:paraId="0E0CD9F4" w14:textId="77777777" w:rsidR="0056325D" w:rsidRPr="0056325D" w:rsidRDefault="0056325D" w:rsidP="0056325D">
            <w:pPr>
              <w:pStyle w:val="BodyText"/>
              <w:rPr>
                <w:rFonts w:asciiTheme="minorHAnsi" w:eastAsiaTheme="minorHAnsi" w:hAnsiTheme="minorHAnsi" w:cstheme="minorBidi"/>
              </w:rPr>
            </w:pPr>
          </w:p>
          <w:p w14:paraId="20392D1E" w14:textId="1E12142C" w:rsidR="0056325D" w:rsidRDefault="0056325D" w:rsidP="0056325D">
            <w:pPr>
              <w:pStyle w:val="BodyText"/>
              <w:rPr>
                <w:rFonts w:asciiTheme="minorHAnsi" w:eastAsiaTheme="minorHAnsi" w:hAnsiTheme="minorHAnsi" w:cstheme="minorBidi"/>
              </w:rPr>
            </w:pPr>
            <w:r w:rsidRPr="0056325D">
              <w:rPr>
                <w:rFonts w:asciiTheme="minorHAnsi" w:eastAsiaTheme="minorHAnsi" w:hAnsiTheme="minorHAnsi" w:cstheme="minorBidi"/>
              </w:rPr>
              <w:t>Developer should confirm that these terms will be acceptable.</w:t>
            </w:r>
          </w:p>
        </w:tc>
        <w:tc>
          <w:tcPr>
            <w:tcW w:w="4230" w:type="dxa"/>
          </w:tcPr>
          <w:p w14:paraId="4C849E1B" w14:textId="77777777" w:rsidR="0056325D" w:rsidRPr="00371AF9" w:rsidRDefault="0056325D" w:rsidP="008A3D5A"/>
        </w:tc>
      </w:tr>
      <w:tr w:rsidR="00F27ECB" w:rsidRPr="00371AF9" w14:paraId="3BDB7375" w14:textId="77777777" w:rsidTr="00D90075">
        <w:trPr>
          <w:cantSplit/>
        </w:trPr>
        <w:tc>
          <w:tcPr>
            <w:tcW w:w="9445" w:type="dxa"/>
            <w:gridSpan w:val="2"/>
            <w:shd w:val="clear" w:color="auto" w:fill="D9D9D9" w:themeFill="background1" w:themeFillShade="D9"/>
          </w:tcPr>
          <w:p w14:paraId="37C92D4B" w14:textId="57598588" w:rsidR="00F27ECB" w:rsidRPr="00F27ECB" w:rsidRDefault="00F27ECB" w:rsidP="00F27ECB">
            <w:pPr>
              <w:pStyle w:val="Heading2"/>
              <w:outlineLvl w:val="1"/>
              <w:rPr>
                <w:rFonts w:ascii="Calibri" w:eastAsia="Calibri" w:hAnsi="Calibri" w:cs="Times New Roman"/>
              </w:rPr>
            </w:pPr>
            <w:r w:rsidRPr="00F27ECB">
              <w:rPr>
                <w:rFonts w:ascii="Calibri" w:eastAsia="Calibri" w:hAnsi="Calibri" w:cs="Times New Roman"/>
              </w:rPr>
              <w:lastRenderedPageBreak/>
              <w:t>Development Guaranty</w:t>
            </w:r>
          </w:p>
        </w:tc>
      </w:tr>
      <w:tr w:rsidR="002A0001" w:rsidRPr="00371AF9" w14:paraId="494D7818" w14:textId="77777777" w:rsidTr="00D90075">
        <w:trPr>
          <w:cantSplit/>
        </w:trPr>
        <w:tc>
          <w:tcPr>
            <w:tcW w:w="5215" w:type="dxa"/>
          </w:tcPr>
          <w:p w14:paraId="49EA7BE7" w14:textId="77777777" w:rsidR="00702DED" w:rsidRDefault="00702DED" w:rsidP="00877273"/>
          <w:p w14:paraId="332851D4" w14:textId="3D7F1791" w:rsidR="00D90075" w:rsidRDefault="0056325D" w:rsidP="00877273">
            <w:r w:rsidRPr="0056325D">
              <w:t xml:space="preserve">The Developer and each of its principals shall provide an unlimited guaranty of completion and performance from a financially responsible entity satisfactory to TMHA to ensure that the development is completed. The guaranty shall cover development costs </w:t>
            </w:r>
            <w:proofErr w:type="gramStart"/>
            <w:r w:rsidRPr="0056325D">
              <w:t>in excess of</w:t>
            </w:r>
            <w:proofErr w:type="gramEnd"/>
            <w:r w:rsidRPr="0056325D">
              <w:t xml:space="preserve"> contingencies agreed to by TMHA. Further details of the guaranty will be negotiated and included in the Master Development Agreement. TMHA will not participate in or provide independent guaranties.</w:t>
            </w:r>
          </w:p>
          <w:p w14:paraId="4FB7FC67" w14:textId="77777777" w:rsidR="0056325D" w:rsidRDefault="0056325D" w:rsidP="00877273">
            <w:pPr>
              <w:rPr>
                <w:b/>
              </w:rPr>
            </w:pPr>
          </w:p>
          <w:p w14:paraId="0F1D8FA9" w14:textId="29656D8C" w:rsidR="002A0001" w:rsidRDefault="00FF0BD3" w:rsidP="00877273">
            <w:r w:rsidRPr="000F3489">
              <w:rPr>
                <w:b/>
              </w:rPr>
              <w:t>Developer should confirm that these terms will be acceptable</w:t>
            </w:r>
            <w:r w:rsidR="000F3489" w:rsidRPr="000F3489">
              <w:rPr>
                <w:b/>
              </w:rPr>
              <w:t>.</w:t>
            </w:r>
          </w:p>
          <w:p w14:paraId="6F93B54D" w14:textId="56C999C9" w:rsidR="00FF0BD3" w:rsidRPr="00371AF9" w:rsidRDefault="00FF0BD3" w:rsidP="00877273">
            <w:pPr>
              <w:rPr>
                <w:rFonts w:ascii="Calibri" w:eastAsia="Calibri" w:hAnsi="Calibri" w:cs="Times New Roman"/>
              </w:rPr>
            </w:pPr>
          </w:p>
        </w:tc>
        <w:tc>
          <w:tcPr>
            <w:tcW w:w="4230" w:type="dxa"/>
          </w:tcPr>
          <w:p w14:paraId="109F4602" w14:textId="77777777" w:rsidR="002A0001" w:rsidRPr="00371AF9" w:rsidRDefault="002A0001" w:rsidP="008A3D5A"/>
        </w:tc>
      </w:tr>
      <w:tr w:rsidR="000F3489" w:rsidRPr="00371AF9" w14:paraId="6D79B067" w14:textId="77777777" w:rsidTr="00D90075">
        <w:trPr>
          <w:cantSplit/>
        </w:trPr>
        <w:tc>
          <w:tcPr>
            <w:tcW w:w="9445" w:type="dxa"/>
            <w:gridSpan w:val="2"/>
            <w:shd w:val="clear" w:color="auto" w:fill="D9D9D9" w:themeFill="background1" w:themeFillShade="D9"/>
          </w:tcPr>
          <w:p w14:paraId="56B4B467" w14:textId="31B9CC9F" w:rsidR="000F3489" w:rsidRPr="000F3489" w:rsidRDefault="000F3489" w:rsidP="00702DED">
            <w:pPr>
              <w:pStyle w:val="Heading2"/>
              <w:outlineLvl w:val="1"/>
            </w:pPr>
            <w:r w:rsidRPr="000F3489">
              <w:t>Right of First Refusal and/or Purchase Option</w:t>
            </w:r>
          </w:p>
        </w:tc>
      </w:tr>
      <w:tr w:rsidR="00371AF9" w:rsidRPr="00371AF9" w14:paraId="58D0C415" w14:textId="77777777" w:rsidTr="00D90075">
        <w:trPr>
          <w:cantSplit/>
        </w:trPr>
        <w:tc>
          <w:tcPr>
            <w:tcW w:w="5215" w:type="dxa"/>
          </w:tcPr>
          <w:p w14:paraId="3A3C46E2" w14:textId="77777777" w:rsidR="00371AF9" w:rsidRPr="00371AF9" w:rsidRDefault="00371AF9" w:rsidP="00371AF9">
            <w:pPr>
              <w:pStyle w:val="Default"/>
              <w:rPr>
                <w:sz w:val="22"/>
                <w:szCs w:val="22"/>
              </w:rPr>
            </w:pPr>
          </w:p>
          <w:p w14:paraId="72CAF616" w14:textId="3AC14210" w:rsidR="00D90075" w:rsidRDefault="00371AF9" w:rsidP="00371AF9">
            <w:pPr>
              <w:pStyle w:val="Default"/>
              <w:rPr>
                <w:sz w:val="22"/>
                <w:szCs w:val="22"/>
              </w:rPr>
            </w:pPr>
            <w:r w:rsidRPr="00371AF9">
              <w:rPr>
                <w:sz w:val="22"/>
                <w:szCs w:val="22"/>
              </w:rPr>
              <w:t xml:space="preserve">For properties that utilize Low Income Housing Tax Credits, </w:t>
            </w:r>
            <w:r w:rsidR="00C75788">
              <w:rPr>
                <w:sz w:val="22"/>
                <w:szCs w:val="22"/>
              </w:rPr>
              <w:t>TMHA</w:t>
            </w:r>
            <w:r w:rsidRPr="00371AF9">
              <w:rPr>
                <w:sz w:val="22"/>
                <w:szCs w:val="22"/>
              </w:rPr>
              <w:t xml:space="preserve"> expects to have the Right of First Refusal for debt plus taxes as provided in Section 42 of the Internal Revenue Code, as well as an Option on terms acceptable to </w:t>
            </w:r>
            <w:r w:rsidR="00812786">
              <w:rPr>
                <w:sz w:val="22"/>
                <w:szCs w:val="22"/>
              </w:rPr>
              <w:t>TMHA</w:t>
            </w:r>
            <w:r w:rsidRPr="00371AF9">
              <w:rPr>
                <w:sz w:val="22"/>
                <w:szCs w:val="22"/>
              </w:rPr>
              <w:t xml:space="preserve">. For other types of affordable housing, </w:t>
            </w:r>
            <w:r w:rsidR="00812786">
              <w:rPr>
                <w:sz w:val="22"/>
                <w:szCs w:val="22"/>
              </w:rPr>
              <w:t>TMHA</w:t>
            </w:r>
            <w:r w:rsidRPr="00371AF9">
              <w:rPr>
                <w:sz w:val="22"/>
                <w:szCs w:val="22"/>
              </w:rPr>
              <w:t xml:space="preserve"> also expects a right of First Refusal on terms acceptable to </w:t>
            </w:r>
            <w:r w:rsidR="00812786">
              <w:rPr>
                <w:sz w:val="22"/>
                <w:szCs w:val="22"/>
              </w:rPr>
              <w:t>THMA</w:t>
            </w:r>
            <w:r w:rsidRPr="00371AF9">
              <w:rPr>
                <w:sz w:val="22"/>
                <w:szCs w:val="22"/>
              </w:rPr>
              <w:t xml:space="preserve">. For market rate housing and non-residential property </w:t>
            </w:r>
            <w:r w:rsidR="00C75788">
              <w:rPr>
                <w:sz w:val="22"/>
                <w:szCs w:val="22"/>
              </w:rPr>
              <w:t>TMHA</w:t>
            </w:r>
            <w:r w:rsidRPr="00371AF9">
              <w:rPr>
                <w:sz w:val="22"/>
                <w:szCs w:val="22"/>
              </w:rPr>
              <w:t xml:space="preserve"> expects to have a role (</w:t>
            </w:r>
            <w:proofErr w:type="gramStart"/>
            <w:r w:rsidRPr="00371AF9">
              <w:rPr>
                <w:sz w:val="22"/>
                <w:szCs w:val="22"/>
              </w:rPr>
              <w:t>e.g.</w:t>
            </w:r>
            <w:proofErr w:type="gramEnd"/>
            <w:r w:rsidRPr="00371AF9">
              <w:rPr>
                <w:sz w:val="22"/>
                <w:szCs w:val="22"/>
              </w:rPr>
              <w:t xml:space="preserve"> special limited partner, co-developer, lender, ground lessor, etc.) that allows </w:t>
            </w:r>
            <w:r w:rsidR="00C75788">
              <w:rPr>
                <w:sz w:val="22"/>
                <w:szCs w:val="22"/>
              </w:rPr>
              <w:t>TMHA</w:t>
            </w:r>
            <w:r w:rsidRPr="00371AF9">
              <w:rPr>
                <w:sz w:val="22"/>
                <w:szCs w:val="22"/>
              </w:rPr>
              <w:t xml:space="preserve"> to receive an investment return and does not negatively impact the underlying project economics. </w:t>
            </w:r>
          </w:p>
          <w:p w14:paraId="5E9FED91" w14:textId="77777777" w:rsidR="00D90075" w:rsidRDefault="00D90075" w:rsidP="00371AF9">
            <w:pPr>
              <w:pStyle w:val="Default"/>
              <w:rPr>
                <w:b/>
                <w:sz w:val="22"/>
                <w:szCs w:val="22"/>
              </w:rPr>
            </w:pPr>
          </w:p>
          <w:p w14:paraId="35781FA6" w14:textId="6F4FACAA" w:rsidR="00371AF9" w:rsidRPr="00371AF9" w:rsidRDefault="00702DED" w:rsidP="00371AF9">
            <w:pPr>
              <w:pStyle w:val="Default"/>
              <w:rPr>
                <w:sz w:val="22"/>
                <w:szCs w:val="22"/>
              </w:rPr>
            </w:pPr>
            <w:r w:rsidRPr="00702DED">
              <w:rPr>
                <w:b/>
                <w:sz w:val="22"/>
                <w:szCs w:val="22"/>
              </w:rPr>
              <w:t>Developer should confirm that these terms will be acceptable.</w:t>
            </w:r>
            <w:r>
              <w:rPr>
                <w:sz w:val="22"/>
                <w:szCs w:val="22"/>
              </w:rPr>
              <w:t xml:space="preserve"> </w:t>
            </w:r>
          </w:p>
          <w:p w14:paraId="25981745" w14:textId="77777777" w:rsidR="00371AF9" w:rsidRPr="00371AF9" w:rsidRDefault="00371AF9" w:rsidP="00877273"/>
        </w:tc>
        <w:tc>
          <w:tcPr>
            <w:tcW w:w="4230" w:type="dxa"/>
          </w:tcPr>
          <w:p w14:paraId="56C18323" w14:textId="77777777" w:rsidR="00371AF9" w:rsidRPr="00371AF9" w:rsidRDefault="00371AF9" w:rsidP="008A3D5A"/>
        </w:tc>
      </w:tr>
    </w:tbl>
    <w:p w14:paraId="4DE1B958" w14:textId="0ED4AA4E" w:rsidR="00FA699A" w:rsidRDefault="00FA699A"/>
    <w:p w14:paraId="69A8395D" w14:textId="045C990A" w:rsidR="00FA699A" w:rsidRPr="00FA699A" w:rsidRDefault="00FA699A" w:rsidP="00FA699A">
      <w:r>
        <w:t>Submitted:</w:t>
      </w:r>
    </w:p>
    <w:p w14:paraId="6AC71DA7" w14:textId="3CBAB8CB" w:rsidR="00D90075" w:rsidRDefault="00D90075" w:rsidP="00D90075">
      <w:pPr>
        <w:spacing w:after="0" w:line="240" w:lineRule="auto"/>
        <w:ind w:righ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812786">
        <w:rPr>
          <w:u w:val="single"/>
        </w:rPr>
        <w:tab/>
      </w:r>
      <w:r>
        <w:tab/>
      </w:r>
      <w:r>
        <w:rPr>
          <w:u w:val="single"/>
        </w:rPr>
        <w:tab/>
      </w:r>
      <w:r>
        <w:rPr>
          <w:u w:val="single"/>
        </w:rPr>
        <w:tab/>
      </w:r>
      <w:r>
        <w:rPr>
          <w:u w:val="single"/>
        </w:rPr>
        <w:tab/>
      </w:r>
      <w:r>
        <w:rPr>
          <w:u w:val="single"/>
        </w:rPr>
        <w:tab/>
      </w:r>
    </w:p>
    <w:p w14:paraId="1DC9BBF8" w14:textId="77777777" w:rsidR="00D90075" w:rsidRDefault="00D90075" w:rsidP="00D90075">
      <w:pPr>
        <w:spacing w:after="0" w:line="240" w:lineRule="auto"/>
        <w:ind w:right="-270"/>
      </w:pPr>
      <w:r>
        <w:t>Signature</w:t>
      </w:r>
      <w:r>
        <w:tab/>
      </w:r>
      <w:r>
        <w:tab/>
      </w:r>
      <w:r>
        <w:tab/>
      </w:r>
      <w:r>
        <w:tab/>
      </w:r>
      <w:r>
        <w:tab/>
      </w:r>
      <w:r>
        <w:tab/>
      </w:r>
      <w:r>
        <w:tab/>
      </w:r>
      <w:r>
        <w:tab/>
        <w:t>Date</w:t>
      </w:r>
    </w:p>
    <w:p w14:paraId="3B4FC566" w14:textId="77777777" w:rsidR="00D90075" w:rsidRDefault="00D90075" w:rsidP="00D90075">
      <w:pPr>
        <w:spacing w:after="0" w:line="240" w:lineRule="auto"/>
        <w:ind w:right="-270"/>
      </w:pPr>
    </w:p>
    <w:p w14:paraId="606C2716" w14:textId="5F3CD1F6" w:rsidR="00D90075" w:rsidRPr="00D90075" w:rsidRDefault="00FA699A" w:rsidP="00D90075">
      <w:pPr>
        <w:spacing w:after="0" w:line="240" w:lineRule="auto"/>
        <w:ind w:right="-270"/>
        <w:rPr>
          <w:szCs w:val="24"/>
          <w:u w:val="single"/>
        </w:rPr>
      </w:pPr>
      <w:r w:rsidRPr="00D90075">
        <w:rPr>
          <w:szCs w:val="24"/>
          <w:u w:val="single"/>
        </w:rPr>
        <w:t xml:space="preserve">     </w:t>
      </w:r>
    </w:p>
    <w:p w14:paraId="36698B97" w14:textId="0A1CE1A5" w:rsidR="00184565" w:rsidRDefault="00D90075" w:rsidP="00D90075">
      <w:pPr>
        <w:spacing w:after="0" w:line="240" w:lineRule="auto"/>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184565">
        <w:rPr>
          <w:szCs w:val="24"/>
        </w:rPr>
        <w:tab/>
      </w:r>
      <w:r w:rsidR="00184565">
        <w:rPr>
          <w:szCs w:val="24"/>
          <w:u w:val="single"/>
        </w:rPr>
        <w:tab/>
      </w:r>
      <w:r w:rsidR="00184565">
        <w:rPr>
          <w:szCs w:val="24"/>
          <w:u w:val="single"/>
        </w:rPr>
        <w:tab/>
      </w:r>
      <w:r w:rsidR="00184565">
        <w:rPr>
          <w:szCs w:val="24"/>
          <w:u w:val="single"/>
        </w:rPr>
        <w:tab/>
      </w:r>
      <w:r w:rsidR="00184565">
        <w:rPr>
          <w:szCs w:val="24"/>
          <w:u w:val="single"/>
        </w:rPr>
        <w:tab/>
      </w:r>
      <w:r w:rsidR="00184565">
        <w:rPr>
          <w:szCs w:val="24"/>
          <w:u w:val="single"/>
        </w:rPr>
        <w:tab/>
      </w:r>
    </w:p>
    <w:p w14:paraId="1D88FEA9" w14:textId="224FF1D4" w:rsidR="0080776D" w:rsidRPr="00184565" w:rsidRDefault="00FA699A" w:rsidP="00D90075">
      <w:pPr>
        <w:spacing w:after="0" w:line="240" w:lineRule="auto"/>
        <w:rPr>
          <w:szCs w:val="24"/>
          <w:u w:val="single"/>
        </w:rPr>
      </w:pPr>
      <w:r w:rsidRPr="00FA699A">
        <w:rPr>
          <w:szCs w:val="24"/>
        </w:rPr>
        <w:t xml:space="preserve">Printed Name     </w:t>
      </w:r>
      <w:r>
        <w:rPr>
          <w:szCs w:val="24"/>
        </w:rPr>
        <w:tab/>
      </w:r>
      <w:r w:rsidRPr="00FA699A">
        <w:rPr>
          <w:szCs w:val="24"/>
        </w:rPr>
        <w:t xml:space="preserve">        </w:t>
      </w:r>
      <w:r>
        <w:rPr>
          <w:szCs w:val="24"/>
        </w:rPr>
        <w:t xml:space="preserve">  </w:t>
      </w:r>
      <w:r w:rsidRPr="00FA699A">
        <w:rPr>
          <w:szCs w:val="24"/>
        </w:rPr>
        <w:t xml:space="preserve">    </w:t>
      </w:r>
      <w:r w:rsidR="00184565">
        <w:rPr>
          <w:szCs w:val="24"/>
        </w:rPr>
        <w:tab/>
      </w:r>
      <w:r w:rsidR="00184565">
        <w:rPr>
          <w:szCs w:val="24"/>
        </w:rPr>
        <w:tab/>
      </w:r>
      <w:r w:rsidR="00184565">
        <w:rPr>
          <w:szCs w:val="24"/>
        </w:rPr>
        <w:tab/>
      </w:r>
      <w:r w:rsidR="00184565">
        <w:rPr>
          <w:szCs w:val="24"/>
        </w:rPr>
        <w:tab/>
      </w:r>
      <w:r w:rsidR="00184565">
        <w:rPr>
          <w:szCs w:val="24"/>
        </w:rPr>
        <w:tab/>
      </w:r>
      <w:r w:rsidRPr="00FA699A">
        <w:rPr>
          <w:szCs w:val="24"/>
        </w:rPr>
        <w:t>Company</w:t>
      </w:r>
    </w:p>
    <w:sectPr w:rsidR="0080776D" w:rsidRPr="00184565" w:rsidSect="00184565">
      <w:headerReference w:type="default" r:id="rId11"/>
      <w:footerReference w:type="default" r:id="rId12"/>
      <w:pgSz w:w="12240" w:h="15840"/>
      <w:pgMar w:top="144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4B212" w14:textId="77777777" w:rsidR="00815D8F" w:rsidRDefault="00815D8F" w:rsidP="00306FB1">
      <w:pPr>
        <w:spacing w:after="0" w:line="240" w:lineRule="auto"/>
      </w:pPr>
      <w:r>
        <w:separator/>
      </w:r>
    </w:p>
  </w:endnote>
  <w:endnote w:type="continuationSeparator" w:id="0">
    <w:p w14:paraId="5F9461D1" w14:textId="77777777" w:rsidR="00815D8F" w:rsidRDefault="00815D8F" w:rsidP="0030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38363"/>
      <w:docPartObj>
        <w:docPartGallery w:val="Page Numbers (Bottom of Page)"/>
        <w:docPartUnique/>
      </w:docPartObj>
    </w:sdtPr>
    <w:sdtEndPr/>
    <w:sdtContent>
      <w:sdt>
        <w:sdtPr>
          <w:id w:val="860082579"/>
          <w:docPartObj>
            <w:docPartGallery w:val="Page Numbers (Top of Page)"/>
            <w:docPartUnique/>
          </w:docPartObj>
        </w:sdtPr>
        <w:sdtEndPr/>
        <w:sdtContent>
          <w:p w14:paraId="279DC6F1" w14:textId="540A9C4C" w:rsidR="00762144" w:rsidRDefault="00133D41">
            <w:pPr>
              <w:pStyle w:val="Footer"/>
              <w:jc w:val="right"/>
            </w:pPr>
            <w:r>
              <w:t>Tarrytown Municipal Housing Authority Proposed Business Terms</w:t>
            </w:r>
            <w:r>
              <w:tab/>
            </w:r>
            <w:r w:rsidR="00762144">
              <w:t xml:space="preserve">Page </w:t>
            </w:r>
            <w:r w:rsidR="00762144">
              <w:rPr>
                <w:b/>
                <w:bCs/>
                <w:sz w:val="24"/>
                <w:szCs w:val="24"/>
              </w:rPr>
              <w:fldChar w:fldCharType="begin"/>
            </w:r>
            <w:r w:rsidR="00762144">
              <w:rPr>
                <w:b/>
                <w:bCs/>
              </w:rPr>
              <w:instrText xml:space="preserve"> PAGE </w:instrText>
            </w:r>
            <w:r w:rsidR="00762144">
              <w:rPr>
                <w:b/>
                <w:bCs/>
                <w:sz w:val="24"/>
                <w:szCs w:val="24"/>
              </w:rPr>
              <w:fldChar w:fldCharType="separate"/>
            </w:r>
            <w:r w:rsidR="00FA699A">
              <w:rPr>
                <w:b/>
                <w:bCs/>
                <w:noProof/>
              </w:rPr>
              <w:t>2</w:t>
            </w:r>
            <w:r w:rsidR="00762144">
              <w:rPr>
                <w:b/>
                <w:bCs/>
                <w:sz w:val="24"/>
                <w:szCs w:val="24"/>
              </w:rPr>
              <w:fldChar w:fldCharType="end"/>
            </w:r>
            <w:r w:rsidR="00762144">
              <w:t xml:space="preserve"> of </w:t>
            </w:r>
            <w:r w:rsidR="00762144">
              <w:rPr>
                <w:b/>
                <w:bCs/>
                <w:sz w:val="24"/>
                <w:szCs w:val="24"/>
              </w:rPr>
              <w:fldChar w:fldCharType="begin"/>
            </w:r>
            <w:r w:rsidR="00762144">
              <w:rPr>
                <w:b/>
                <w:bCs/>
              </w:rPr>
              <w:instrText xml:space="preserve"> NUMPAGES  </w:instrText>
            </w:r>
            <w:r w:rsidR="00762144">
              <w:rPr>
                <w:b/>
                <w:bCs/>
                <w:sz w:val="24"/>
                <w:szCs w:val="24"/>
              </w:rPr>
              <w:fldChar w:fldCharType="separate"/>
            </w:r>
            <w:r w:rsidR="00FA699A">
              <w:rPr>
                <w:b/>
                <w:bCs/>
                <w:noProof/>
              </w:rPr>
              <w:t>3</w:t>
            </w:r>
            <w:r w:rsidR="00762144">
              <w:rPr>
                <w:b/>
                <w:bCs/>
                <w:sz w:val="24"/>
                <w:szCs w:val="24"/>
              </w:rPr>
              <w:fldChar w:fldCharType="end"/>
            </w:r>
          </w:p>
        </w:sdtContent>
      </w:sdt>
    </w:sdtContent>
  </w:sdt>
  <w:p w14:paraId="6AE5D7AD" w14:textId="77777777" w:rsidR="00762144" w:rsidRDefault="00762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09771" w14:textId="77777777" w:rsidR="00815D8F" w:rsidRDefault="00815D8F" w:rsidP="00306FB1">
      <w:pPr>
        <w:spacing w:after="0" w:line="240" w:lineRule="auto"/>
      </w:pPr>
      <w:r>
        <w:separator/>
      </w:r>
    </w:p>
  </w:footnote>
  <w:footnote w:type="continuationSeparator" w:id="0">
    <w:p w14:paraId="34E0C484" w14:textId="77777777" w:rsidR="00815D8F" w:rsidRDefault="00815D8F" w:rsidP="00306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09D9" w14:textId="4E7590DC" w:rsidR="00C75788" w:rsidRPr="005E782D" w:rsidRDefault="00345414" w:rsidP="00133D41">
    <w:pPr>
      <w:pStyle w:val="Header"/>
      <w:tabs>
        <w:tab w:val="clear" w:pos="9360"/>
        <w:tab w:val="right" w:pos="9990"/>
      </w:tabs>
      <w:jc w:val="center"/>
      <w:rPr>
        <w:b/>
        <w:sz w:val="28"/>
        <w:szCs w:val="28"/>
      </w:rPr>
    </w:pPr>
    <w:r>
      <w:rPr>
        <w:b/>
        <w:sz w:val="28"/>
        <w:szCs w:val="28"/>
      </w:rPr>
      <w:t xml:space="preserve">Attachment </w:t>
    </w:r>
    <w:r w:rsidR="00133D41">
      <w:rPr>
        <w:b/>
        <w:sz w:val="28"/>
        <w:szCs w:val="28"/>
      </w:rPr>
      <w:t>H</w:t>
    </w:r>
    <w:r>
      <w:rPr>
        <w:b/>
        <w:sz w:val="28"/>
        <w:szCs w:val="28"/>
      </w:rPr>
      <w:t xml:space="preserve">: </w:t>
    </w:r>
    <w:r w:rsidR="00246AA9">
      <w:rPr>
        <w:b/>
        <w:sz w:val="28"/>
        <w:szCs w:val="28"/>
      </w:rPr>
      <w:t>Proposed Business Term</w:t>
    </w:r>
    <w:r w:rsidR="00673D3F">
      <w:rPr>
        <w:b/>
        <w:sz w:val="28"/>
        <w:szCs w:val="28"/>
      </w:rPr>
      <w:t>s</w:t>
    </w:r>
  </w:p>
  <w:p w14:paraId="7850B42A" w14:textId="412AA6AE" w:rsidR="00762144" w:rsidRDefault="00C75788" w:rsidP="00133D41">
    <w:pPr>
      <w:pStyle w:val="Header"/>
      <w:tabs>
        <w:tab w:val="clear" w:pos="4680"/>
        <w:tab w:val="clear" w:pos="9360"/>
        <w:tab w:val="left" w:pos="3225"/>
        <w:tab w:val="left" w:pos="7085"/>
      </w:tabs>
      <w:jc w:val="center"/>
      <w:rPr>
        <w:b/>
      </w:rPr>
    </w:pPr>
    <w:r>
      <w:rPr>
        <w:b/>
        <w:sz w:val="28"/>
        <w:szCs w:val="28"/>
      </w:rPr>
      <w:t>Master Developer/ Partner for Tarrytown Municipal Housing Authority</w:t>
    </w:r>
  </w:p>
  <w:p w14:paraId="3962C6DF" w14:textId="77777777" w:rsidR="002C0207" w:rsidRDefault="002C0207" w:rsidP="002C0207">
    <w:pPr>
      <w:pStyle w:val="Header"/>
      <w:tabs>
        <w:tab w:val="clear" w:pos="4680"/>
        <w:tab w:val="clear" w:pos="9360"/>
        <w:tab w:val="left" w:pos="3225"/>
        <w:tab w:val="left" w:pos="70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4752"/>
    <w:multiLevelType w:val="hybridMultilevel"/>
    <w:tmpl w:val="D21ADD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A622E"/>
    <w:multiLevelType w:val="hybridMultilevel"/>
    <w:tmpl w:val="75A6F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B14A2"/>
    <w:multiLevelType w:val="hybridMultilevel"/>
    <w:tmpl w:val="5EBA8A78"/>
    <w:lvl w:ilvl="0" w:tplc="0409000F">
      <w:start w:val="1"/>
      <w:numFmt w:val="decimal"/>
      <w:lvlText w:val="%1."/>
      <w:lvlJc w:val="left"/>
      <w:pPr>
        <w:ind w:left="360" w:hanging="360"/>
      </w:pPr>
    </w:lvl>
    <w:lvl w:ilvl="1" w:tplc="BAB40196">
      <w:start w:val="1"/>
      <w:numFmt w:val="lowerLetter"/>
      <w:lvlText w:val="%2."/>
      <w:lvlJc w:val="left"/>
      <w:pPr>
        <w:ind w:left="1080" w:hanging="360"/>
      </w:pPr>
      <w:rPr>
        <w:color w:val="auto"/>
      </w:rPr>
    </w:lvl>
    <w:lvl w:ilvl="2" w:tplc="56B2804A">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A43E1E"/>
    <w:multiLevelType w:val="hybridMultilevel"/>
    <w:tmpl w:val="9A5EB2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E3CB3"/>
    <w:multiLevelType w:val="hybridMultilevel"/>
    <w:tmpl w:val="A07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372AB"/>
    <w:multiLevelType w:val="hybridMultilevel"/>
    <w:tmpl w:val="D9285A46"/>
    <w:lvl w:ilvl="0" w:tplc="04090013">
      <w:start w:val="1"/>
      <w:numFmt w:val="upperRoman"/>
      <w:lvlText w:val="%1."/>
      <w:lvlJc w:val="right"/>
      <w:pPr>
        <w:ind w:left="360" w:hanging="360"/>
      </w:pPr>
    </w:lvl>
    <w:lvl w:ilvl="1" w:tplc="0409000F">
      <w:start w:val="1"/>
      <w:numFmt w:val="decimal"/>
      <w:lvlText w:val="%2."/>
      <w:lvlJc w:val="left"/>
      <w:pPr>
        <w:ind w:left="1080" w:hanging="360"/>
      </w:pPr>
      <w:rPr>
        <w:color w:val="auto"/>
      </w:rPr>
    </w:lvl>
    <w:lvl w:ilvl="2" w:tplc="56B2804A">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893BF9"/>
    <w:multiLevelType w:val="hybridMultilevel"/>
    <w:tmpl w:val="005A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B4998"/>
    <w:multiLevelType w:val="hybridMultilevel"/>
    <w:tmpl w:val="04462C86"/>
    <w:lvl w:ilvl="0" w:tplc="04090013">
      <w:start w:val="1"/>
      <w:numFmt w:val="upperRoman"/>
      <w:lvlText w:val="%1."/>
      <w:lvlJc w:val="right"/>
      <w:pPr>
        <w:ind w:left="360" w:hanging="360"/>
      </w:pPr>
    </w:lvl>
    <w:lvl w:ilvl="1" w:tplc="0409000F">
      <w:start w:val="1"/>
      <w:numFmt w:val="decimal"/>
      <w:lvlText w:val="%2."/>
      <w:lvlJc w:val="left"/>
      <w:pPr>
        <w:ind w:left="1080" w:hanging="360"/>
      </w:pPr>
      <w:rPr>
        <w:color w:val="auto"/>
      </w:rPr>
    </w:lvl>
    <w:lvl w:ilvl="2" w:tplc="56B2804A">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BD23A2"/>
    <w:multiLevelType w:val="hybridMultilevel"/>
    <w:tmpl w:val="9A5EB22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F0644B"/>
    <w:multiLevelType w:val="hybridMultilevel"/>
    <w:tmpl w:val="7C10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5"/>
  </w:num>
  <w:num w:numId="6">
    <w:abstractNumId w:val="4"/>
  </w:num>
  <w:num w:numId="7">
    <w:abstractNumId w:val="9"/>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EB"/>
    <w:rsid w:val="0001028D"/>
    <w:rsid w:val="000177FE"/>
    <w:rsid w:val="00023CD0"/>
    <w:rsid w:val="00046BE0"/>
    <w:rsid w:val="000618FF"/>
    <w:rsid w:val="00092F6D"/>
    <w:rsid w:val="000A10EF"/>
    <w:rsid w:val="000A7925"/>
    <w:rsid w:val="000D42D0"/>
    <w:rsid w:val="000E5C30"/>
    <w:rsid w:val="000F3489"/>
    <w:rsid w:val="00100826"/>
    <w:rsid w:val="00102E75"/>
    <w:rsid w:val="00106380"/>
    <w:rsid w:val="001247AF"/>
    <w:rsid w:val="0012722E"/>
    <w:rsid w:val="00133D41"/>
    <w:rsid w:val="00143AA5"/>
    <w:rsid w:val="00153F5C"/>
    <w:rsid w:val="00184565"/>
    <w:rsid w:val="001B000C"/>
    <w:rsid w:val="001B140A"/>
    <w:rsid w:val="001D12DF"/>
    <w:rsid w:val="001E033B"/>
    <w:rsid w:val="002016AD"/>
    <w:rsid w:val="00202E50"/>
    <w:rsid w:val="00221EF1"/>
    <w:rsid w:val="00226D03"/>
    <w:rsid w:val="00230563"/>
    <w:rsid w:val="0024333E"/>
    <w:rsid w:val="00245970"/>
    <w:rsid w:val="00246AA9"/>
    <w:rsid w:val="00256751"/>
    <w:rsid w:val="002648FD"/>
    <w:rsid w:val="00283418"/>
    <w:rsid w:val="002A0001"/>
    <w:rsid w:val="002A0194"/>
    <w:rsid w:val="002A0641"/>
    <w:rsid w:val="002A6B3F"/>
    <w:rsid w:val="002A73C1"/>
    <w:rsid w:val="002C0207"/>
    <w:rsid w:val="002C0BFB"/>
    <w:rsid w:val="002E2492"/>
    <w:rsid w:val="002E31EC"/>
    <w:rsid w:val="00306FB1"/>
    <w:rsid w:val="00335845"/>
    <w:rsid w:val="00345414"/>
    <w:rsid w:val="00360F96"/>
    <w:rsid w:val="00371AF9"/>
    <w:rsid w:val="0038166E"/>
    <w:rsid w:val="00381C5A"/>
    <w:rsid w:val="00383057"/>
    <w:rsid w:val="003B1DAF"/>
    <w:rsid w:val="003B2F46"/>
    <w:rsid w:val="003B3DF5"/>
    <w:rsid w:val="003C5DBA"/>
    <w:rsid w:val="003E4CE7"/>
    <w:rsid w:val="003E662D"/>
    <w:rsid w:val="003F1716"/>
    <w:rsid w:val="00423F84"/>
    <w:rsid w:val="00437DC7"/>
    <w:rsid w:val="00440160"/>
    <w:rsid w:val="00447E3F"/>
    <w:rsid w:val="00454942"/>
    <w:rsid w:val="0047106B"/>
    <w:rsid w:val="00471E31"/>
    <w:rsid w:val="00491346"/>
    <w:rsid w:val="00492024"/>
    <w:rsid w:val="004A3188"/>
    <w:rsid w:val="004B4A5E"/>
    <w:rsid w:val="004C4986"/>
    <w:rsid w:val="004C7389"/>
    <w:rsid w:val="004E4F54"/>
    <w:rsid w:val="004F6B8B"/>
    <w:rsid w:val="005021B9"/>
    <w:rsid w:val="00525479"/>
    <w:rsid w:val="00543CBF"/>
    <w:rsid w:val="005509DB"/>
    <w:rsid w:val="00551CB3"/>
    <w:rsid w:val="005562CC"/>
    <w:rsid w:val="00556FF6"/>
    <w:rsid w:val="0056325D"/>
    <w:rsid w:val="00576551"/>
    <w:rsid w:val="00592BC3"/>
    <w:rsid w:val="005A3D22"/>
    <w:rsid w:val="005A3E30"/>
    <w:rsid w:val="005B64AE"/>
    <w:rsid w:val="005D70CA"/>
    <w:rsid w:val="005E140C"/>
    <w:rsid w:val="00601F69"/>
    <w:rsid w:val="006348B3"/>
    <w:rsid w:val="00641F26"/>
    <w:rsid w:val="00644F4F"/>
    <w:rsid w:val="006506FC"/>
    <w:rsid w:val="006519B1"/>
    <w:rsid w:val="006659B4"/>
    <w:rsid w:val="006700F7"/>
    <w:rsid w:val="00673D3F"/>
    <w:rsid w:val="0067734B"/>
    <w:rsid w:val="0069376B"/>
    <w:rsid w:val="006A1AA9"/>
    <w:rsid w:val="006A231D"/>
    <w:rsid w:val="006D2EBD"/>
    <w:rsid w:val="006F7784"/>
    <w:rsid w:val="00702DED"/>
    <w:rsid w:val="00730AD7"/>
    <w:rsid w:val="00731978"/>
    <w:rsid w:val="00732C0E"/>
    <w:rsid w:val="00744E63"/>
    <w:rsid w:val="00761131"/>
    <w:rsid w:val="0076152E"/>
    <w:rsid w:val="00762144"/>
    <w:rsid w:val="00782B1B"/>
    <w:rsid w:val="00794BCF"/>
    <w:rsid w:val="007A145C"/>
    <w:rsid w:val="007A72AB"/>
    <w:rsid w:val="007B0937"/>
    <w:rsid w:val="007B798F"/>
    <w:rsid w:val="00802510"/>
    <w:rsid w:val="0080776D"/>
    <w:rsid w:val="00812786"/>
    <w:rsid w:val="00815D8F"/>
    <w:rsid w:val="00816509"/>
    <w:rsid w:val="00832B3C"/>
    <w:rsid w:val="00836868"/>
    <w:rsid w:val="00877273"/>
    <w:rsid w:val="00885A59"/>
    <w:rsid w:val="00887913"/>
    <w:rsid w:val="008A3D5A"/>
    <w:rsid w:val="008B7CAB"/>
    <w:rsid w:val="008C1CA4"/>
    <w:rsid w:val="008C32E6"/>
    <w:rsid w:val="008D03BC"/>
    <w:rsid w:val="008D6506"/>
    <w:rsid w:val="0090185A"/>
    <w:rsid w:val="00907FC6"/>
    <w:rsid w:val="009136A2"/>
    <w:rsid w:val="009205AE"/>
    <w:rsid w:val="00962793"/>
    <w:rsid w:val="00981DAB"/>
    <w:rsid w:val="00995EB3"/>
    <w:rsid w:val="009B020C"/>
    <w:rsid w:val="009E5696"/>
    <w:rsid w:val="009E65B1"/>
    <w:rsid w:val="00A26A7C"/>
    <w:rsid w:val="00A71850"/>
    <w:rsid w:val="00A84C2B"/>
    <w:rsid w:val="00AA14B4"/>
    <w:rsid w:val="00AA7CC5"/>
    <w:rsid w:val="00AB1693"/>
    <w:rsid w:val="00AB35D1"/>
    <w:rsid w:val="00AB753D"/>
    <w:rsid w:val="00AB7D5D"/>
    <w:rsid w:val="00AC37DD"/>
    <w:rsid w:val="00AD54BB"/>
    <w:rsid w:val="00AE2A57"/>
    <w:rsid w:val="00B017D9"/>
    <w:rsid w:val="00B05B41"/>
    <w:rsid w:val="00B24CD4"/>
    <w:rsid w:val="00B31BCB"/>
    <w:rsid w:val="00B35E82"/>
    <w:rsid w:val="00B405E2"/>
    <w:rsid w:val="00B41535"/>
    <w:rsid w:val="00B45FA0"/>
    <w:rsid w:val="00B67789"/>
    <w:rsid w:val="00B73139"/>
    <w:rsid w:val="00B84C0E"/>
    <w:rsid w:val="00B85FA8"/>
    <w:rsid w:val="00BB7068"/>
    <w:rsid w:val="00BD4B8F"/>
    <w:rsid w:val="00BF15D6"/>
    <w:rsid w:val="00BF4F9C"/>
    <w:rsid w:val="00BF5E29"/>
    <w:rsid w:val="00C05ACF"/>
    <w:rsid w:val="00C05FEB"/>
    <w:rsid w:val="00C24FD8"/>
    <w:rsid w:val="00C41D62"/>
    <w:rsid w:val="00C57B0C"/>
    <w:rsid w:val="00C75788"/>
    <w:rsid w:val="00C81158"/>
    <w:rsid w:val="00C90796"/>
    <w:rsid w:val="00C925F7"/>
    <w:rsid w:val="00C9354F"/>
    <w:rsid w:val="00C9688B"/>
    <w:rsid w:val="00CD3737"/>
    <w:rsid w:val="00CE0734"/>
    <w:rsid w:val="00CE1923"/>
    <w:rsid w:val="00CE5A89"/>
    <w:rsid w:val="00CE5B6B"/>
    <w:rsid w:val="00CE6F74"/>
    <w:rsid w:val="00CF6CE8"/>
    <w:rsid w:val="00D04E69"/>
    <w:rsid w:val="00D13F72"/>
    <w:rsid w:val="00D34166"/>
    <w:rsid w:val="00D44705"/>
    <w:rsid w:val="00D6459B"/>
    <w:rsid w:val="00D73087"/>
    <w:rsid w:val="00D7565B"/>
    <w:rsid w:val="00D831FB"/>
    <w:rsid w:val="00D90075"/>
    <w:rsid w:val="00DB17D3"/>
    <w:rsid w:val="00DC221E"/>
    <w:rsid w:val="00DF7ECC"/>
    <w:rsid w:val="00E05B28"/>
    <w:rsid w:val="00E17076"/>
    <w:rsid w:val="00E17469"/>
    <w:rsid w:val="00E422F0"/>
    <w:rsid w:val="00E47898"/>
    <w:rsid w:val="00E65DC2"/>
    <w:rsid w:val="00E67FA9"/>
    <w:rsid w:val="00E80B18"/>
    <w:rsid w:val="00E82B10"/>
    <w:rsid w:val="00EC43BA"/>
    <w:rsid w:val="00EE3DAE"/>
    <w:rsid w:val="00F27ECB"/>
    <w:rsid w:val="00F32DC6"/>
    <w:rsid w:val="00F85ADE"/>
    <w:rsid w:val="00F9288A"/>
    <w:rsid w:val="00FA699A"/>
    <w:rsid w:val="00FC4D91"/>
    <w:rsid w:val="00FD0FED"/>
    <w:rsid w:val="00FD58BD"/>
    <w:rsid w:val="00FE5476"/>
    <w:rsid w:val="00FF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C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AF9"/>
    <w:pPr>
      <w:keepNext/>
      <w:tabs>
        <w:tab w:val="left" w:pos="1073"/>
      </w:tabs>
      <w:spacing w:after="0" w:line="240" w:lineRule="auto"/>
      <w:outlineLvl w:val="0"/>
    </w:pPr>
    <w:rPr>
      <w:rFonts w:ascii="Calibri" w:eastAsia="Calibri" w:hAnsi="Calibri" w:cs="Times New Roman"/>
      <w:b/>
    </w:rPr>
  </w:style>
  <w:style w:type="paragraph" w:styleId="Heading2">
    <w:name w:val="heading 2"/>
    <w:basedOn w:val="Normal"/>
    <w:next w:val="Normal"/>
    <w:link w:val="Heading2Char"/>
    <w:uiPriority w:val="9"/>
    <w:unhideWhenUsed/>
    <w:qFormat/>
    <w:rsid w:val="00761131"/>
    <w:pPr>
      <w:keepNext/>
      <w:spacing w:after="0" w:line="24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FEB"/>
    <w:pPr>
      <w:ind w:left="720"/>
      <w:contextualSpacing/>
    </w:pPr>
  </w:style>
  <w:style w:type="paragraph" w:styleId="Header">
    <w:name w:val="header"/>
    <w:basedOn w:val="Normal"/>
    <w:link w:val="HeaderChar"/>
    <w:unhideWhenUsed/>
    <w:rsid w:val="00306FB1"/>
    <w:pPr>
      <w:tabs>
        <w:tab w:val="center" w:pos="4680"/>
        <w:tab w:val="right" w:pos="9360"/>
      </w:tabs>
      <w:spacing w:after="0" w:line="240" w:lineRule="auto"/>
    </w:pPr>
  </w:style>
  <w:style w:type="character" w:customStyle="1" w:styleId="HeaderChar">
    <w:name w:val="Header Char"/>
    <w:basedOn w:val="DefaultParagraphFont"/>
    <w:link w:val="Header"/>
    <w:rsid w:val="00306FB1"/>
  </w:style>
  <w:style w:type="paragraph" w:styleId="Footer">
    <w:name w:val="footer"/>
    <w:basedOn w:val="Normal"/>
    <w:link w:val="FooterChar"/>
    <w:uiPriority w:val="99"/>
    <w:unhideWhenUsed/>
    <w:rsid w:val="0030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FB1"/>
  </w:style>
  <w:style w:type="paragraph" w:styleId="BalloonText">
    <w:name w:val="Balloon Text"/>
    <w:basedOn w:val="Normal"/>
    <w:link w:val="BalloonTextChar"/>
    <w:uiPriority w:val="99"/>
    <w:semiHidden/>
    <w:unhideWhenUsed/>
    <w:rsid w:val="0024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70"/>
    <w:rPr>
      <w:rFonts w:ascii="Tahoma" w:hAnsi="Tahoma" w:cs="Tahoma"/>
      <w:sz w:val="16"/>
      <w:szCs w:val="16"/>
    </w:rPr>
  </w:style>
  <w:style w:type="character" w:styleId="CommentReference">
    <w:name w:val="annotation reference"/>
    <w:basedOn w:val="DefaultParagraphFont"/>
    <w:uiPriority w:val="99"/>
    <w:semiHidden/>
    <w:unhideWhenUsed/>
    <w:rsid w:val="00226D03"/>
    <w:rPr>
      <w:sz w:val="16"/>
      <w:szCs w:val="16"/>
    </w:rPr>
  </w:style>
  <w:style w:type="paragraph" w:styleId="CommentText">
    <w:name w:val="annotation text"/>
    <w:basedOn w:val="Normal"/>
    <w:link w:val="CommentTextChar"/>
    <w:uiPriority w:val="99"/>
    <w:semiHidden/>
    <w:unhideWhenUsed/>
    <w:rsid w:val="00226D03"/>
    <w:pPr>
      <w:spacing w:line="240" w:lineRule="auto"/>
    </w:pPr>
    <w:rPr>
      <w:sz w:val="20"/>
      <w:szCs w:val="20"/>
    </w:rPr>
  </w:style>
  <w:style w:type="character" w:customStyle="1" w:styleId="CommentTextChar">
    <w:name w:val="Comment Text Char"/>
    <w:basedOn w:val="DefaultParagraphFont"/>
    <w:link w:val="CommentText"/>
    <w:uiPriority w:val="99"/>
    <w:semiHidden/>
    <w:rsid w:val="00226D03"/>
    <w:rPr>
      <w:sz w:val="20"/>
      <w:szCs w:val="20"/>
    </w:rPr>
  </w:style>
  <w:style w:type="paragraph" w:styleId="CommentSubject">
    <w:name w:val="annotation subject"/>
    <w:basedOn w:val="CommentText"/>
    <w:next w:val="CommentText"/>
    <w:link w:val="CommentSubjectChar"/>
    <w:uiPriority w:val="99"/>
    <w:semiHidden/>
    <w:unhideWhenUsed/>
    <w:rsid w:val="00226D03"/>
    <w:rPr>
      <w:b/>
      <w:bCs/>
    </w:rPr>
  </w:style>
  <w:style w:type="character" w:customStyle="1" w:styleId="CommentSubjectChar">
    <w:name w:val="Comment Subject Char"/>
    <w:basedOn w:val="CommentTextChar"/>
    <w:link w:val="CommentSubject"/>
    <w:uiPriority w:val="99"/>
    <w:semiHidden/>
    <w:rsid w:val="00226D03"/>
    <w:rPr>
      <w:b/>
      <w:bCs/>
      <w:sz w:val="20"/>
      <w:szCs w:val="20"/>
    </w:rPr>
  </w:style>
  <w:style w:type="paragraph" w:customStyle="1" w:styleId="Default">
    <w:name w:val="Default"/>
    <w:rsid w:val="00371AF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71AF9"/>
    <w:rPr>
      <w:rFonts w:ascii="Calibri" w:eastAsia="Calibri" w:hAnsi="Calibri" w:cs="Times New Roman"/>
      <w:b/>
    </w:rPr>
  </w:style>
  <w:style w:type="character" w:customStyle="1" w:styleId="Heading2Char">
    <w:name w:val="Heading 2 Char"/>
    <w:basedOn w:val="DefaultParagraphFont"/>
    <w:link w:val="Heading2"/>
    <w:uiPriority w:val="9"/>
    <w:rsid w:val="00761131"/>
    <w:rPr>
      <w:b/>
    </w:rPr>
  </w:style>
  <w:style w:type="paragraph" w:styleId="BodyText">
    <w:name w:val="Body Text"/>
    <w:basedOn w:val="Normal"/>
    <w:link w:val="BodyTextChar"/>
    <w:uiPriority w:val="99"/>
    <w:unhideWhenUsed/>
    <w:rsid w:val="00F27ECB"/>
    <w:pPr>
      <w:spacing w:after="0" w:line="240" w:lineRule="auto"/>
    </w:pPr>
    <w:rPr>
      <w:rFonts w:ascii="Calibri" w:eastAsia="Calibri" w:hAnsi="Calibri" w:cs="Times New Roman"/>
      <w:b/>
    </w:rPr>
  </w:style>
  <w:style w:type="character" w:customStyle="1" w:styleId="BodyTextChar">
    <w:name w:val="Body Text Char"/>
    <w:basedOn w:val="DefaultParagraphFont"/>
    <w:link w:val="BodyText"/>
    <w:uiPriority w:val="99"/>
    <w:rsid w:val="00F27ECB"/>
    <w:rPr>
      <w:rFonts w:ascii="Calibri" w:eastAsia="Calibri" w:hAnsi="Calibri" w:cs="Times New Roman"/>
      <w:b/>
    </w:rPr>
  </w:style>
  <w:style w:type="character" w:styleId="Hyperlink">
    <w:name w:val="Hyperlink"/>
    <w:basedOn w:val="DefaultParagraphFont"/>
    <w:uiPriority w:val="99"/>
    <w:unhideWhenUsed/>
    <w:rsid w:val="002C0207"/>
    <w:rPr>
      <w:color w:val="0000FF" w:themeColor="hyperlink"/>
      <w:u w:val="single"/>
    </w:rPr>
  </w:style>
  <w:style w:type="character" w:styleId="UnresolvedMention">
    <w:name w:val="Unresolved Mention"/>
    <w:basedOn w:val="DefaultParagraphFont"/>
    <w:uiPriority w:val="99"/>
    <w:semiHidden/>
    <w:unhideWhenUsed/>
    <w:rsid w:val="00FD5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309803">
      <w:bodyDiv w:val="1"/>
      <w:marLeft w:val="0"/>
      <w:marRight w:val="0"/>
      <w:marTop w:val="0"/>
      <w:marBottom w:val="0"/>
      <w:divBdr>
        <w:top w:val="none" w:sz="0" w:space="0" w:color="auto"/>
        <w:left w:val="none" w:sz="0" w:space="0" w:color="auto"/>
        <w:bottom w:val="none" w:sz="0" w:space="0" w:color="auto"/>
        <w:right w:val="none" w:sz="0" w:space="0" w:color="auto"/>
      </w:divBdr>
    </w:div>
    <w:div w:id="12377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598DF89C5E0442A62B45CA9228A4A3" ma:contentTypeVersion="8" ma:contentTypeDescription="Create a new document." ma:contentTypeScope="" ma:versionID="958951913028e44cdce88670ae3d9f05">
  <xsd:schema xmlns:xsd="http://www.w3.org/2001/XMLSchema" xmlns:xs="http://www.w3.org/2001/XMLSchema" xmlns:p="http://schemas.microsoft.com/office/2006/metadata/properties" xmlns:ns2="0e8febee-16f5-451f-b505-e7fe7afbe432" xmlns:ns3="1d747318-a58f-470c-9375-d276aaf7968e" targetNamespace="http://schemas.microsoft.com/office/2006/metadata/properties" ma:root="true" ma:fieldsID="2b0bcd18c6e44d872bf83a8003d6a15a" ns2:_="" ns3:_="">
    <xsd:import namespace="0e8febee-16f5-451f-b505-e7fe7afbe432"/>
    <xsd:import namespace="1d747318-a58f-470c-9375-d276aaf796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febee-16f5-451f-b505-e7fe7afbe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747318-a58f-470c-9375-d276aaf796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003FB-F937-4645-90B2-34B75E4F11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1553BB-3CC8-444C-8DD4-15330EB5EDD0}">
  <ds:schemaRefs>
    <ds:schemaRef ds:uri="http://schemas.openxmlformats.org/officeDocument/2006/bibliography"/>
  </ds:schemaRefs>
</ds:datastoreItem>
</file>

<file path=customXml/itemProps3.xml><?xml version="1.0" encoding="utf-8"?>
<ds:datastoreItem xmlns:ds="http://schemas.openxmlformats.org/officeDocument/2006/customXml" ds:itemID="{B631ED27-4458-480A-AB27-D95E38A54626}">
  <ds:schemaRefs>
    <ds:schemaRef ds:uri="http://schemas.microsoft.com/sharepoint/v3/contenttype/forms"/>
  </ds:schemaRefs>
</ds:datastoreItem>
</file>

<file path=customXml/itemProps4.xml><?xml version="1.0" encoding="utf-8"?>
<ds:datastoreItem xmlns:ds="http://schemas.openxmlformats.org/officeDocument/2006/customXml" ds:itemID="{373F0372-4222-492C-B37B-3DDFCA1BE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febee-16f5-451f-b505-e7fe7afbe432"/>
    <ds:schemaRef ds:uri="1d747318-a58f-470c-9375-d276aaf79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3363</Characters>
  <Application>Microsoft Office Word</Application>
  <DocSecurity>0</DocSecurity>
  <PresentationFormat/>
  <Lines>28</Lines>
  <Paragraphs>7</Paragraphs>
  <ScaleCrop>false</ScaleCrop>
  <HeadingPairs>
    <vt:vector size="2" baseType="variant">
      <vt:variant>
        <vt:lpstr>Title</vt:lpstr>
      </vt:variant>
      <vt:variant>
        <vt:i4>1</vt:i4>
      </vt:variant>
    </vt:vector>
  </HeadingPairs>
  <TitlesOfParts>
    <vt:vector size="1" baseType="lpstr">
      <vt:lpstr>HPHA - MWH - Deal Points Chart (Hunt Response 4.16.15)  (00229751.DOCX;2)</vt:lpstr>
    </vt:vector>
  </TitlesOfParts>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HPHA - MWH - Deal Points Chart (Hunt Response 4.16.15)  (00229751.DOCX;2)</dc:title>
  <dc:subject>00229751.2</dc:subject>
  <dc:creator/>
  <cp:lastModifiedBy/>
  <cp:revision>1</cp:revision>
  <dcterms:created xsi:type="dcterms:W3CDTF">2021-02-02T04:27:00Z</dcterms:created>
  <dcterms:modified xsi:type="dcterms:W3CDTF">2021-02-02T22:52:00Z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0x01010043598DF89C5E0442A62B45CA9228A4A3</vt:lpwstr>
  </property>
  <property fmtid="{D5CDD505-2E9C-101B-9397-08002B2CF9AE}" pid="3" name="AuthorIds_UIVersion_512">
    <vt:lpwstr>239</vt:lpwstr>
  </property>
</Properties>
</file>